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sz w:val="48"/>
          <w:szCs w:val="4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sz w:val="48"/>
          <w:szCs w:val="4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sz w:val="48"/>
          <w:szCs w:val="48"/>
          <w:lang w:eastAsia="zh-CN"/>
        </w:rPr>
        <w:t>车辆段信号系统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sz w:val="48"/>
          <w:szCs w:val="4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sz w:val="48"/>
          <w:szCs w:val="48"/>
        </w:rPr>
        <w:t>课程标准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5" w:lineRule="atLeast"/>
        <w:ind w:left="1200" w:leftChars="50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  <w:t>适用专业：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eastAsia="zh-CN"/>
        </w:rPr>
        <w:t>城市轨道交通信号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系统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5" w:lineRule="atLeast"/>
        <w:ind w:left="1200" w:leftChars="50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  <w:t>适用年级：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eastAsia="zh-CN"/>
        </w:rPr>
        <w:t>中专阶段城轨信号班级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5" w:lineRule="atLeast"/>
        <w:ind w:left="1200" w:leftChars="50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  <w:t>编制时间：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2023年11月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5" w:lineRule="atLeast"/>
        <w:ind w:left="1200" w:leftChars="50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  <w:t>修订时间：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【课程名称】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车辆段信号系统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【适用专业】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中等职业学校城市轨道交通信号专业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一、课程性质与任务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（一）课程性质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《</w:t>
      </w:r>
      <w:r>
        <w:rPr>
          <w:rFonts w:hint="eastAsia"/>
          <w:lang w:eastAsia="zh-CN"/>
        </w:rPr>
        <w:t>车辆段信号系统</w:t>
      </w:r>
      <w:r>
        <w:rPr>
          <w:rFonts w:hint="eastAsia"/>
        </w:rPr>
        <w:t>》课程是中等职业学校</w:t>
      </w:r>
      <w:r>
        <w:rPr>
          <w:rFonts w:hint="eastAsia"/>
          <w:lang w:eastAsia="zh-CN"/>
        </w:rPr>
        <w:t>城市轨道交通信号</w:t>
      </w:r>
      <w:r>
        <w:rPr>
          <w:rFonts w:hint="eastAsia"/>
        </w:rPr>
        <w:t>专业重要的</w:t>
      </w:r>
      <w:r>
        <w:rPr>
          <w:rFonts w:hint="eastAsia"/>
          <w:lang w:eastAsia="zh-CN"/>
        </w:rPr>
        <w:t>专业核心</w:t>
      </w:r>
      <w:r>
        <w:rPr>
          <w:rFonts w:hint="eastAsia"/>
        </w:rPr>
        <w:t>课程之一，是一门应用性、实践性非常强的专业核心课。通过本课程的学习，学生能够掌握车辆段信号基础设备</w:t>
      </w:r>
      <w:r>
        <w:rPr>
          <w:rFonts w:hint="eastAsia"/>
          <w:lang w:eastAsia="zh-CN"/>
        </w:rPr>
        <w:t>原理及设备之间联系，</w:t>
      </w:r>
      <w:r>
        <w:rPr>
          <w:rFonts w:hint="eastAsia"/>
        </w:rPr>
        <w:t>具备初级</w:t>
      </w:r>
      <w:r>
        <w:rPr>
          <w:rFonts w:hint="eastAsia"/>
          <w:lang w:eastAsia="zh-CN"/>
        </w:rPr>
        <w:t>信号设备维护、保养、调试和故障处理能力。在实践中培养学生</w:t>
      </w:r>
      <w:r>
        <w:rPr>
          <w:rFonts w:hint="eastAsia"/>
        </w:rPr>
        <w:t>创新能力、自主学习能力，养成崇尚劳动、敬业守信、精益求精、敢于创新的职业习惯，树立学生“传承工匠精神、投身制造强国”的职业价值理念，培养和塑造“德技双优的</w:t>
      </w:r>
      <w:r>
        <w:rPr>
          <w:rFonts w:hint="eastAsia"/>
          <w:lang w:eastAsia="zh-CN"/>
        </w:rPr>
        <w:t>信号</w:t>
      </w:r>
      <w:r>
        <w:rPr>
          <w:rFonts w:hint="eastAsia"/>
        </w:rPr>
        <w:t>技术工匠”人才。本课程以《城市轨道交通概论》、《城市轨道交通信号基础</w:t>
      </w:r>
      <w:r>
        <w:rPr>
          <w:rFonts w:hint="eastAsia"/>
          <w:lang w:eastAsia="zh-CN"/>
        </w:rPr>
        <w:t>》</w:t>
      </w:r>
      <w:r>
        <w:rPr>
          <w:rFonts w:hint="eastAsia"/>
        </w:rPr>
        <w:t>等课程为先导课程，后续将进一步学习</w:t>
      </w:r>
      <w:r>
        <w:rPr>
          <w:rFonts w:hint="eastAsia"/>
          <w:lang w:eastAsia="zh-CN"/>
        </w:rPr>
        <w:t>《城市轨道交通信号系统运行与维修》</w:t>
      </w:r>
      <w:r>
        <w:rPr>
          <w:rFonts w:hint="eastAsia"/>
        </w:rPr>
        <w:t>等课程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（</w:t>
      </w: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1）。</w:t>
      </w:r>
    </w:p>
    <w:tbl>
      <w:tblPr>
        <w:tblStyle w:val="4"/>
        <w:tblpPr w:leftFromText="180" w:rightFromText="180" w:vertAnchor="text" w:horzAnchor="page" w:tblpXSpec="center" w:tblpY="47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056"/>
        <w:gridCol w:w="1176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车辆段信号系统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所属系别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轨道信号工程系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课程性质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必修☑ 选修□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考核性质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考试☑ 考查□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适用专业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城市轨道交通信号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开设学期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第三、第四学期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前导课程</w:t>
            </w:r>
          </w:p>
        </w:tc>
        <w:tc>
          <w:tcPr>
            <w:tcW w:w="6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《城市轨道交通概论》、《城市轨道交通信号基础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后续课程</w:t>
            </w:r>
          </w:p>
        </w:tc>
        <w:tc>
          <w:tcPr>
            <w:tcW w:w="6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《城市轨道交通信号系统运行与维修》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总学时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课程类型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理论课□ 理论＋实践☑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理实一体化□ 集中实践课□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专业核心课☑ 非专业核心课□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配套人才培养方案</w:t>
            </w:r>
          </w:p>
        </w:tc>
        <w:tc>
          <w:tcPr>
            <w:tcW w:w="4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2023级专业人才培养方案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 课程信息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（二）课程任务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程是落实立德树人根本任务，满足城市轨道交通信号专业的人才培养要求，围绕核心素养，吸纳相关领域的前沿知识和技术。以城市轨道交通的实际发展为背景，以信号工典型岗位为主线，对接信号行业标准规范，对接“1+X”轨道交通信号专业（中级）职业技能等级证书要求，对接中职“城市轨道交通信号设备组装与调试”项目技能大赛的专业技能点，积极探索“岗课赛证”融合育人模式。选用《车辆段信号系统》职业院校校企“双元”合作专业活页式立体化教材，根据岗位分类和学生学习规律，优化课程体系，坚持以学生为中心，以项目为载体，以解决实际问题为导向，“体验-参与-内化”育人维度为隐性内线将课程体系进行重构，实现思政元素和专业知识的内容同频、思想共振，构建课程知识体系，设定以车辆段信号系统设计、车辆段信号系统施工、车辆段信号系统设备维三个循序渐进的学习模块，形成阶梯式的教学思路，阶梯提升学生的知识技能与解决实际问题的综合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二、课程目标与要求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（一）课程目标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程通过完成以真实项目为载体的工作任务，实施线上线下学习相结合、理论与实践学习相结合，使学生掌握信号设备控制基本原理、信号系统的基本结构、系统设计原则、设备维护规程方法等理论知识，学生能够对信号设备基本电路进行分析、实现设备故障处理。从设计、施工、维护全方位、多环节展开教学，让学生从全方位了解城市轨道信号专业车辆段信号系统整体布局。在学习过程中让学生了解新现象、懂新模式、掌握新技术、新工艺，形成好的思维方式、具备初级信号工的基本技能，并且推进课程思政建设，发挥好本课程的育人作用，将价值塑造、知识传授和能力培养三者融为一体，培养学生养成严谨认真的工作作风和敬业爱岗的工作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1．素质目标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（1）具备良好职业道德和敬业精神；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（2）具备人际交流能力、公共关系处理能力和团队协作精神；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（3）具有较强的表达能力、沟通能力、组织实施能力；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（4）具备安全作业意识；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（5）具备标准化作业意识；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（6）具有集体意识和社会责任心；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（7）具备“精修细检”的工匠精神。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2．知识目标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（1）了解车辆段信号系统的构成、功能及特点等内容；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（2）理解不同类型继电电路的结构、功能及原理；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（4）掌握轨道电路的类型、结构、功能及原理；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（5）掌握信号机的类型、结构、功能及原理；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（6）掌握转辙机的类型、结构、功能及原理；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3．能力目标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（1）具有阅读有关技术资料，自我拓展学习本专业的新技术、新工艺，获取新知识的能力；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（2）具有职业生涯规划能力；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（3）具有独立学习能力和决策能力；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三、课程内容和要求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依据城市轨道交通信号专业人才培养目标要求，本课程教学内容主要由车辆段信号系统概述、联锁系统、典型电路、车辆段信号系统（ATC）、设备维护等项目组成,其内容涵盖城轨交通信号系统各个组成部分的基础知识，具体内容如下（表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    教学内容描述</w:t>
      </w:r>
    </w:p>
    <w:tbl>
      <w:tblPr>
        <w:tblStyle w:val="3"/>
        <w:tblW w:w="8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626"/>
        <w:gridCol w:w="2811"/>
        <w:gridCol w:w="3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31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1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车辆段信号</w:t>
            </w:r>
            <w:r>
              <w:rPr>
                <w:rFonts w:hint="eastAsia"/>
              </w:rPr>
              <w:t>系统概述</w:t>
            </w:r>
          </w:p>
        </w:tc>
        <w:tc>
          <w:tcPr>
            <w:tcW w:w="2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1.车辆段简介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2车辆段信号系统组成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3信号平面布置图识图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4信号设备布置图</w:t>
            </w:r>
          </w:p>
        </w:tc>
        <w:tc>
          <w:tcPr>
            <w:tcW w:w="3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1.了解车辆段的作用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2.了解车辆段信号系统的结构、功能及特点；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3.了解车辆段平面布置图结构；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4.了解车辆段信号设备布置结构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联锁系统</w:t>
            </w:r>
          </w:p>
        </w:tc>
        <w:tc>
          <w:tcPr>
            <w:tcW w:w="2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1联锁基本知识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2.进路与联锁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3.联锁表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4.联锁系统结构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5.常见几种联锁系统</w:t>
            </w:r>
          </w:p>
        </w:tc>
        <w:tc>
          <w:tcPr>
            <w:tcW w:w="3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1.了解联锁的含义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2.了解联锁的条件；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3.学会编制联锁表；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4.了解常见的联锁系统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典型电路</w:t>
            </w:r>
          </w:p>
        </w:tc>
        <w:tc>
          <w:tcPr>
            <w:tcW w:w="2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1.道岔控制电路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2.信号机控制电路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3.计轴、复位电路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4.转换轨接口电路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5.试车线接口电路</w:t>
            </w:r>
          </w:p>
        </w:tc>
        <w:tc>
          <w:tcPr>
            <w:tcW w:w="3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1.了解电路基本原理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2.学会电路导通过程；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3.学会处理故障；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车辆段信号系统（</w:t>
            </w:r>
            <w:r>
              <w:rPr>
                <w:rFonts w:hint="eastAsia"/>
                <w:lang w:val="en-US" w:eastAsia="zh-CN"/>
              </w:rPr>
              <w:t>ATC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系统原理</w:t>
            </w:r>
          </w:p>
        </w:tc>
        <w:tc>
          <w:tcPr>
            <w:tcW w:w="3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1.了解系统结构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2.理解系统工作原理；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设备维护</w:t>
            </w:r>
          </w:p>
        </w:tc>
        <w:tc>
          <w:tcPr>
            <w:tcW w:w="28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1.基础设备维护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2.系统设备维护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1.了解设备维护程序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2.学会设备维护方法；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3.学会故障处理；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四、实施建议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（一）师资队伍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eastAsia="zh-CN"/>
        </w:rPr>
        <w:t>车辆段信号系统</w:t>
      </w:r>
      <w:r>
        <w:rPr>
          <w:rFonts w:hint="eastAsia"/>
        </w:rPr>
        <w:t>》课程教学对任课教师有很高的要求，要熟悉</w:t>
      </w:r>
      <w:r>
        <w:rPr>
          <w:rFonts w:hint="eastAsia"/>
          <w:lang w:eastAsia="zh-CN"/>
        </w:rPr>
        <w:t>车辆段</w:t>
      </w:r>
      <w:r>
        <w:rPr>
          <w:rFonts w:hint="eastAsia"/>
        </w:rPr>
        <w:t>通信号系统各个组成部分的基础知识，能将各部分知识融合集中。专任教师应具备本科以上学历，有相关教学、学习经历。建议由经验丰富的专业课教师讲授。兼职教师要求正在轨道交通企业工作，并且具有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年以上工作经验，能够在教学过程中提出合理化的意见，提供典型案例。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（二）教学组织与设计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教学条件和环境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25"/>
        <w:gridCol w:w="4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实践教学</w:t>
            </w:r>
          </w:p>
        </w:tc>
        <w:tc>
          <w:tcPr>
            <w:tcW w:w="4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理论教学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教学环境要求</w:t>
            </w:r>
          </w:p>
        </w:tc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实训室</w:t>
            </w:r>
          </w:p>
        </w:tc>
        <w:tc>
          <w:tcPr>
            <w:tcW w:w="45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教室，配备多媒体设备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教学材料要求</w:t>
            </w:r>
          </w:p>
        </w:tc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实训指导书</w:t>
            </w:r>
          </w:p>
        </w:tc>
        <w:tc>
          <w:tcPr>
            <w:tcW w:w="45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多媒体课件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教学组织模式</w:t>
            </w:r>
          </w:p>
        </w:tc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分组教学</w:t>
            </w:r>
          </w:p>
        </w:tc>
        <w:tc>
          <w:tcPr>
            <w:tcW w:w="45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通过教师讲授，使学生掌握城市</w:t>
            </w:r>
            <w:r>
              <w:rPr>
                <w:rFonts w:hint="eastAsia"/>
                <w:lang w:eastAsia="zh-CN"/>
              </w:rPr>
              <w:t>车辆段</w:t>
            </w:r>
            <w:r>
              <w:rPr>
                <w:rFonts w:hint="eastAsia"/>
              </w:rPr>
              <w:t>信号系统的组成及工作原理，并通过案例分析，培养学生分析问题能力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2.本课程在教学方法上的特殊性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本课程主要采用讲授法、小组讨论法、教师指导等多种教学方法，辅助采用多媒体等现代教学方法。充分调动学生学习兴趣，促进学生积极思考与实践，使学生对城市轨道交通信号系统知识全面深入的掌握，进而促进学生职业能力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（2）在教学过程中，要广泛应用图片、动画等教学资源辅助教学，帮助学生理解各种信号设备的常识要点。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（3）教学过程中加强安全教育，提高安全意识，培养学生严谨的工作态度。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3．课程考核与评价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本课程教学过程以学生为主体，采用综合考核的办法，即过程考核加终结性考核。过程考核包括实验成绩、出勤情况、提问成绩、作业成绩，满分100分终结性考核为期末闭卷考试，满分100分。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总成绩=过程考核×70%+终结性考核×30%。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3 </w:t>
      </w:r>
      <w:r>
        <w:rPr>
          <w:rFonts w:hint="eastAsia"/>
        </w:rPr>
        <w:t>教学评价表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2070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评价内容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过程评价</w:t>
            </w:r>
          </w:p>
        </w:tc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出勤情况、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提问成绩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项目成绩、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作业成绩</w:t>
            </w:r>
          </w:p>
        </w:tc>
        <w:tc>
          <w:tcPr>
            <w:tcW w:w="4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4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4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总成绩=出勤及平时表现20%+实践和任务成绩40%+终结性考核40%。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4．课程教学资源使用与建设（包括条件）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（1）利用现代信息技术开发多媒体课件，构建网络课程资源库。通过搭建起多维、动态、活跃、自主的课程训练平台，使学生的主动性、积极性和创造性得以充分调动。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（2）搭建校企合作平台，与企业共同研发产品。实行相关实验室开放，提高实验室设备的利用率。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（3）充分利用实验实训室，在学生学习过程中关注学生职业能力的发展和教学内容的调整，积极编写校本教材。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（4）积极利用电子书籍、电子期刊、数字图书馆、各大网站等网络资源，使教学内容从单一化向多元化转变，尽力拓展学生的知识和能力。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（5）教学设施与实训环境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校内有大型城轨实训基地以及各种类型城轨实训室。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  <w:font w:name="TypeLand 儀鳳寫經體">
    <w:panose1 w:val="00000000000000000000"/>
    <w:charset w:val="88"/>
    <w:family w:val="auto"/>
    <w:pitch w:val="default"/>
    <w:sig w:usb0="80000001" w:usb1="18010000" w:usb2="00000012" w:usb3="00000000" w:csb0="00100001" w:csb1="00000000"/>
  </w:font>
  <w:font w:name="Times">
    <w:altName w:val="Good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od Times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NTViMmJjMDM0YTY2YzBiNzlkMjNhNGVjNjI4OWQifQ=="/>
  </w:docVars>
  <w:rsids>
    <w:rsidRoot w:val="26097CF2"/>
    <w:rsid w:val="12D81CC1"/>
    <w:rsid w:val="26097CF2"/>
    <w:rsid w:val="4F0840EA"/>
    <w:rsid w:val="555F1C4B"/>
    <w:rsid w:val="5C533E08"/>
    <w:rsid w:val="615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2023-11-08T07:20:00Z</dcterms:created>
  <dc:creator>小胖纸要早睡</dc:creator>
  <cp:lastModifiedBy>幻星乜陨灭</cp:lastModifiedBy>
  <dcterms:modified xsi:type="dcterms:W3CDTF">2024-03-30T01:19:17Z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04F51F6093784B56A928729CC2E6F475_11</vt:lpwstr>
  </property>
</Properties>
</file>